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疫苗、防疫物资配送服务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报价单</w:t>
      </w:r>
    </w:p>
    <w:tbl>
      <w:tblPr>
        <w:tblStyle w:val="3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392"/>
        <w:gridCol w:w="4716"/>
        <w:gridCol w:w="924"/>
        <w:gridCol w:w="1068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12" w:hRule="atLeast"/>
        </w:trPr>
        <w:tc>
          <w:tcPr>
            <w:tcW w:w="661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目</w:t>
            </w:r>
          </w:p>
        </w:tc>
        <w:tc>
          <w:tcPr>
            <w:tcW w:w="471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车辆及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配送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06" w:hRule="atLeast"/>
        </w:trPr>
        <w:tc>
          <w:tcPr>
            <w:tcW w:w="6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疫苗、物资配送服务</w:t>
            </w:r>
          </w:p>
        </w:tc>
        <w:tc>
          <w:tcPr>
            <w:tcW w:w="4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一、冷藏运输车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冷藏车须专车专用，不能混装，载货量为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吨，每天使用车辆数量为1-3辆；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车辆运输报价按照每辆车1天，每天送货里程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（单程）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公里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报价单位为“辆/天”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、报价包括人工、车辆使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用及磨损、车辆及人员保险、油费、路桥费、税费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、装卸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等费用。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4、配送服务时间、地点不固定，每天配送点为3-4个，根据采购人需求，提前1天通知承运人进行配送。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非长期使用。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5、结算：每季度结算一次，按季度汇总实际运输车次天数进行结算，12月31日前结清。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辆/天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658" w:hRule="atLeast"/>
        </w:trPr>
        <w:tc>
          <w:tcPr>
            <w:tcW w:w="6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7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二、货运箱式货车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1、货运车辆为箱式，须专车专用，不能混装，载货量为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2-5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吨，每天使用车辆数量为1-3辆；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、车辆运输报价按照每辆车1天，每天送货里程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（单程）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公里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报价单位为“辆/天”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、报价包括人工、车辆使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用及磨损、车辆及人员保险、油费、路桥费、税费</w:t>
            </w: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、装卸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等费用。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4、配送服务时间、地点不固定，每天配送点为3-4个，根据采购人需求，提前1天通知承运人进行配送。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非长期使用。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vertAlign w:val="baseline"/>
                <w:lang w:val="en-US" w:eastAsia="zh-CN"/>
              </w:rPr>
              <w:t>5、结算：每季度结算一次，按季度汇总实际运输车次天数进行结算，12月31日前结清。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辆/天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报价单位（盖章）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报价单位负责人</w:t>
            </w:r>
          </w:p>
        </w:tc>
        <w:tc>
          <w:tcPr>
            <w:tcW w:w="67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1073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4"/>
          <w:szCs w:val="24"/>
          <w:u w:val="none"/>
          <w:lang w:val="en-US" w:eastAsia="zh-CN"/>
        </w:rPr>
        <w:t>备注：报价单位须提供营业执照的复印件加盖公章。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91200"/>
    <w:multiLevelType w:val="singleLevel"/>
    <w:tmpl w:val="322912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5B4706"/>
    <w:rsid w:val="685E21D6"/>
    <w:rsid w:val="BB5B47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2026-03-03T14:29:00Z</dcterms:created>
  <dc:creator>joanna</dc:creator>
  <cp:lastModifiedBy>五脊六兽</cp:lastModifiedBy>
  <dcterms:modified xsi:type="dcterms:W3CDTF">2026-03-03T06:41:29Z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7CAC85E780F4F2F2DB7FA6693C1865F8_41</vt:lpwstr>
  </property>
</Properties>
</file>