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CESI宋体-GB2312" w:hAnsi="CESI宋体-GB2312" w:eastAsia="方正小标宋简体" w:cs="方正小标宋简体"/>
          <w:color w:val="auto"/>
          <w:sz w:val="44"/>
          <w:szCs w:val="44"/>
          <w:lang w:val="en-US" w:eastAsia="zh-CN"/>
        </w:rPr>
        <w:t>专用航标的设置、撤除、位置移动和其他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CESI宋体-GB2312" w:hAnsi="CESI宋体-GB2312" w:eastAsia="方正小标宋简体" w:cs="方正小标宋简体"/>
          <w:color w:val="auto"/>
          <w:sz w:val="44"/>
          <w:szCs w:val="44"/>
          <w:lang w:val="en-US" w:eastAsia="zh-CN"/>
        </w:rPr>
        <w:t>状况改变审批办事指南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一、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事项名称：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专用航标的设置、撤除、位置移动和其他状况改变审批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实施机构：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唐山市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受理部门：</w:t>
      </w:r>
      <w:r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eastAsia="zh-CN"/>
        </w:rPr>
        <w:t>渔政科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设定依据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  <w:t>《中华人民共和国航标条例》（国务院令1995年第187号发布，国务院令2011年第588号修订）第六条规定：航标由航标管理机关统一设置；但是，本条第二款规定的航标除外。专业单位可以自行设置自用的专用航标。专用航标的设置、撤除、位置移动和其他状况改变，应当经航标管理机关同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  <w:t>《渔业航标管理办法》（农业部令2008年第13号）第八条规定：经渔业航标管理机关同意，专业单位可以在渔港水域和其他渔业水域设置自用的专用航标。撤除、移动位置或变更专用航标其他状况的，设置单位应当报渔业航标管理机关批准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="720" w:firstLine="0" w:firstLineChars="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  <w:t>1.拟设置、撤除、位置移动和其他状况改变的航标属于依法由海洋工程、海岸工程的建设单位、所有人或者经营人设置的专用航标；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  <w:t>2.航标的设置、撤除、位置移动和其他状况改变符合航行安全、经济、便利等要求及航标正常使用的要求；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  <w:t>3.航标及其配布符合国家有关技术规范和标准；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  <w:t>4.航标设计、施工方案，已经专门的技术评估或者专家论证；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  <w:t>5.申请设置航标的，已制定航标维护方案，方案中确定的维护单位已建立航标维护质量保证体系。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、申请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材料</w:t>
      </w:r>
    </w:p>
    <w:p>
      <w:pPr>
        <w:pStyle w:val="8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设置专用航标，专业单位应当向所在地渔业航标管理机关提出申请，并提交下列书面材料：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（一）专业单位法人营业执照复印件；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（二）航标的设置方案及可行性报告；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（三）航标种类、灯质和设置地点；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（四）标体设计和位置图；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（五）经费预算及来源；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（六）专用航标申请书。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撤除、移动位置或变更专用航标其他状况的，专业单位应当向所在地渔业航标管理机关提供下列书面材料：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（一）专业单位法人营业执照复印件；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（二）原专用航标批准设置文件的复印件；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（三）变更原因的说明材料：主要包括：1.航标的撤除、移动位置或变更专用航标其他状况的工作方案及可行性报告；2.航标种类、灯质和设置地点；3.标体设计和位置图；4.变更原因的说明材料。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（四）专用航标申请书。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638" w:leftChars="304" w:firstLine="0" w:firstLineChars="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七、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事项办理流程图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</w:pPr>
      <w:bookmarkStart w:id="0" w:name="_GoBack"/>
      <w:r>
        <w:rPr>
          <w:rFonts w:ascii="CESI宋体-GB2312" w:hAnsi="CESI宋体-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161925</wp:posOffset>
            </wp:positionV>
            <wp:extent cx="4813935" cy="3566160"/>
            <wp:effectExtent l="0" t="0" r="5715" b="15240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、办理时限：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10个工作日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 xml:space="preserve">    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、收费情况：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宋体-GB2312" w:hAnsi="CESI宋体-GB2312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、办公时间和地点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（一）办公时间：</w:t>
      </w:r>
      <w:r>
        <w:rPr>
          <w:rFonts w:hint="eastAsia" w:ascii="CESI宋体-GB2312" w:hAnsi="CESI宋体-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星期一至星期五：（9月1日至5月31日）上午8：30－11：30，下午13：30－17：30；（6月1日至8月31日）上午8：30－11：30，下午14：30－17：30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（二）办理地址：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  <w:t>唐山市民服务中心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A区2层综合办理B区材料代收窗口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default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（三）办公电话：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0315-2806228  0315-2806604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 xml:space="preserve">    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、监督和投诉渠道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监督投诉电话：0315-2806318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</w:rPr>
        <w:t>、救济途径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申请人如对行政许可决定不服，可以于收到决定书之日起六十日内向唐山市人民政府申请复议，也可以于六个月内依法向唐山市路北区人民法院提起行政诉讼。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</w:rPr>
        <w:t>、证照发放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ESI宋体-GB2312" w:hAnsi="CESI宋体-GB2312"/>
          <w:sz w:val="32"/>
          <w:szCs w:val="32"/>
          <w:highlight w:val="none"/>
        </w:rPr>
      </w:pPr>
      <w:r>
        <w:rPr>
          <w:rFonts w:hint="eastAsia" w:ascii="CESI宋体-GB2312" w:hAnsi="CESI宋体-GB2312" w:eastAsia="仿宋" w:cs="黑体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通过窗口或快递领取办理结果。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CESI宋体-GB2312" w:hAnsi="CESI宋体-GB231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ZkN2I3MWZmMjM2MjUzYmFlNmY1NmRlMTZiMzEifQ=="/>
  </w:docVars>
  <w:rsids>
    <w:rsidRoot w:val="00000000"/>
    <w:rsid w:val="0369315B"/>
    <w:rsid w:val="0390788D"/>
    <w:rsid w:val="05990554"/>
    <w:rsid w:val="05EA5D79"/>
    <w:rsid w:val="10F03431"/>
    <w:rsid w:val="119360D6"/>
    <w:rsid w:val="144933C4"/>
    <w:rsid w:val="1AD77FD0"/>
    <w:rsid w:val="1DBC69B5"/>
    <w:rsid w:val="24F3242F"/>
    <w:rsid w:val="28BC3D0D"/>
    <w:rsid w:val="2AB47391"/>
    <w:rsid w:val="2CF57BE1"/>
    <w:rsid w:val="2D2D342B"/>
    <w:rsid w:val="311961A0"/>
    <w:rsid w:val="3651616F"/>
    <w:rsid w:val="37BD18A6"/>
    <w:rsid w:val="3FFF49D7"/>
    <w:rsid w:val="49EB4802"/>
    <w:rsid w:val="4C4347C3"/>
    <w:rsid w:val="4E0822D1"/>
    <w:rsid w:val="53BFD9CF"/>
    <w:rsid w:val="58E97218"/>
    <w:rsid w:val="5AF917EB"/>
    <w:rsid w:val="5B597015"/>
    <w:rsid w:val="5C5E639C"/>
    <w:rsid w:val="5DEF1596"/>
    <w:rsid w:val="5E536325"/>
    <w:rsid w:val="65C9036C"/>
    <w:rsid w:val="6BB44D32"/>
    <w:rsid w:val="737E5413"/>
    <w:rsid w:val="7BDF446F"/>
    <w:rsid w:val="7EBF22CE"/>
    <w:rsid w:val="7FEB02D7"/>
    <w:rsid w:val="BFFFF973"/>
    <w:rsid w:val="C6FAF003"/>
    <w:rsid w:val="FBF39B8A"/>
    <w:rsid w:val="FDFB465F"/>
    <w:rsid w:val="FEA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1015</Characters>
  <Lines>0</Lines>
  <Paragraphs>0</Paragraphs>
  <TotalTime>0</TotalTime>
  <ScaleCrop>false</ScaleCrop>
  <LinksUpToDate>false</LinksUpToDate>
  <CharactersWithSpaces>1042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2022-10-04T01:53:00Z</dcterms:created>
  <dc:creator>Administrator</dc:creator>
  <cp:lastModifiedBy>baixin</cp:lastModifiedBy>
  <cp:lastPrinted>2023-06-22T08:32:00Z</cp:lastPrinted>
  <dcterms:modified xsi:type="dcterms:W3CDTF">2026-04-24T14:16:13Z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E547CA7315204ADEA6E1C9BB00908664</vt:lpwstr>
  </property>
</Properties>
</file>